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河北省司法厅（省本级）权责事项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2022年度调整情况汇总清单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329"/>
        <w:gridCol w:w="1125"/>
        <w:gridCol w:w="2485"/>
        <w:gridCol w:w="1704"/>
        <w:gridCol w:w="1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权力类型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事项名称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调整变化情况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调整理由及依据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2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  <w:vertAlign w:val="baseline"/>
                <w:lang w:val="en-US" w:eastAsia="zh-CN"/>
              </w:rPr>
              <w:t>共调整8项：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按事项类型划分，涉及行政许可4项、行政备案3项、行政给付1项；按调整变化情况划分，涉及调整名称3项、调整类型3项、合并1项、调整设定依据1项。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行政许可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律师执业、变更执业机构许可（含香港、澳门永久性居民中的中国居民及台湾居民申请律师执业、变更执业机构）</w:t>
            </w:r>
          </w:p>
        </w:tc>
        <w:tc>
          <w:tcPr>
            <w:tcW w:w="24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由律师执业、变更、注销许可，香港、澳门永久性居民中的中国居民申请在内地从事律师职业核准，取得国家法律职业资格的台湾居民在大陆申请律师执业审核等3项行政许可事项合并而成。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《河北省省级行政执法事项清单》</w:t>
            </w:r>
          </w:p>
        </w:tc>
        <w:tc>
          <w:tcPr>
            <w:tcW w:w="11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行政许可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香港、澳门律师事务所驻内地代表机构设立、变更、注销许可</w:t>
            </w:r>
          </w:p>
        </w:tc>
        <w:tc>
          <w:tcPr>
            <w:tcW w:w="24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名称由港澳台律师事务所驻河北代表机构设立许可调整为香港、澳门律师事务所驻内地代表机构设立、变更、注销许可。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《河北省省级行政执法事项清单》</w:t>
            </w:r>
          </w:p>
        </w:tc>
        <w:tc>
          <w:tcPr>
            <w:tcW w:w="11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行政许可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香港、澳门律师事务所驻内地代表机构派驻代表执业、变更许可</w:t>
            </w:r>
          </w:p>
        </w:tc>
        <w:tc>
          <w:tcPr>
            <w:tcW w:w="24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名称由香港、澳门永久性居民中的中国居民申请在内地从事律师执业调整为香港、澳门律师事务所驻内地代表机构派驻代表执业、变更许可。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《河北省省级行政执法事项清单》</w:t>
            </w:r>
          </w:p>
        </w:tc>
        <w:tc>
          <w:tcPr>
            <w:tcW w:w="11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行政许可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公证员任职审核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名称由公证员任职审核调整为公证员执业许可。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《河北省省级行政许可事项清单（2022年版）》</w:t>
            </w:r>
          </w:p>
        </w:tc>
        <w:tc>
          <w:tcPr>
            <w:tcW w:w="11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行政给付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法律援助办案补贴发放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实施依据中增加“《中华人民共和国法律援助法》第52条”。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《中华人民共和国法律援助法》于2022年1月1日起施行。</w:t>
            </w:r>
          </w:p>
        </w:tc>
        <w:tc>
          <w:tcPr>
            <w:tcW w:w="1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河北省法律援助中心受理审核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行政备案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律师事务所变更住所备案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由其他类型调整为行政备案类。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《河北省行政备案事项清单》</w:t>
            </w:r>
          </w:p>
        </w:tc>
        <w:tc>
          <w:tcPr>
            <w:tcW w:w="11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行政备案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律师事务所变更合伙人备案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由其他类型调整为行政备案类。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《河北省行政备案事项清单》</w:t>
            </w:r>
          </w:p>
        </w:tc>
        <w:tc>
          <w:tcPr>
            <w:tcW w:w="11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行政备案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律师事务所公章、财务章印模和开立的银行账户备案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由其他类型调整为行政备案类。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《河北省行政备案事项清单》</w:t>
            </w:r>
          </w:p>
        </w:tc>
        <w:tc>
          <w:tcPr>
            <w:tcW w:w="11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F01A7"/>
    <w:rsid w:val="79EA4F0C"/>
    <w:rsid w:val="7FDF01A7"/>
    <w:rsid w:val="F6EBF9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  <w:tcPr>
      <w:textDirection w:val="btLr"/>
    </w:tcPr>
  </w:style>
  <w:style w:type="table" w:styleId="3">
    <w:name w:val="Table Grid"/>
    <w:basedOn w:val="2"/>
    <w:qFormat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extDirection w:val="btLr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16.6666666666667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2022-11-02T19:01:00Z</dcterms:created>
  <dc:creator>kylin</dc:creator>
  <cp:lastModifiedBy>hp</cp:lastModifiedBy>
  <cp:lastPrinted>2022-11-02T19:01:33Z</cp:lastPrinted>
  <dcterms:modified xsi:type="dcterms:W3CDTF">2023-09-26T00:33:31Z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